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1B" w:rsidRPr="009B3576" w:rsidRDefault="00C5151B" w:rsidP="00C5151B">
      <w:pPr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  <w:r w:rsidRPr="009B3576">
        <w:rPr>
          <w:rFonts w:ascii="Calibri" w:eastAsia="Malgun Gothic" w:hAnsi="Calibri" w:cs="Times New Roman"/>
          <w:sz w:val="24"/>
          <w:szCs w:val="24"/>
        </w:rPr>
        <w:t>Chapter</w:t>
      </w:r>
      <w:r>
        <w:rPr>
          <w:rFonts w:ascii="Calibri" w:eastAsia="Malgun Gothic" w:hAnsi="Calibri" w:cs="Times New Roman"/>
          <w:sz w:val="24"/>
          <w:szCs w:val="24"/>
        </w:rPr>
        <w:t xml:space="preserve"> </w:t>
      </w:r>
      <w:r w:rsidRPr="009B3576">
        <w:rPr>
          <w:rFonts w:ascii="Calibri" w:eastAsia="Malgun Gothic" w:hAnsi="Calibri" w:cs="Times New Roman"/>
          <w:sz w:val="24"/>
          <w:szCs w:val="24"/>
        </w:rPr>
        <w:t>7</w:t>
      </w:r>
    </w:p>
    <w:p w:rsidR="00C5151B" w:rsidRPr="009B3576" w:rsidRDefault="00C5151B" w:rsidP="00C5151B">
      <w:pPr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35"/>
        <w:gridCol w:w="3780"/>
        <w:gridCol w:w="7470"/>
      </w:tblGrid>
      <w:tr w:rsidR="00C5151B" w:rsidRPr="009B3576" w:rsidTr="000C2E28">
        <w:tc>
          <w:tcPr>
            <w:tcW w:w="1435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378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747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Sample Sentence</w:t>
            </w:r>
          </w:p>
        </w:tc>
      </w:tr>
      <w:tr w:rsidR="00C5151B" w:rsidRPr="009B3576" w:rsidTr="000C2E28">
        <w:tc>
          <w:tcPr>
            <w:tcW w:w="1435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Breeches </w:t>
            </w:r>
          </w:p>
        </w:tc>
        <w:tc>
          <w:tcPr>
            <w:tcW w:w="378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(informal) pants </w:t>
            </w:r>
          </w:p>
        </w:tc>
        <w:tc>
          <w:tcPr>
            <w:tcW w:w="747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</w:p>
        </w:tc>
      </w:tr>
      <w:tr w:rsidR="00C5151B" w:rsidRPr="009B3576" w:rsidTr="000C2E28">
        <w:tc>
          <w:tcPr>
            <w:tcW w:w="1435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Lest</w:t>
            </w:r>
          </w:p>
        </w:tc>
        <w:tc>
          <w:tcPr>
            <w:tcW w:w="378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(conjunction) for fear that</w:t>
            </w:r>
          </w:p>
        </w:tc>
        <w:tc>
          <w:tcPr>
            <w:tcW w:w="747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</w:p>
        </w:tc>
      </w:tr>
      <w:tr w:rsidR="00C5151B" w:rsidRPr="009B3576" w:rsidTr="000C2E28">
        <w:tc>
          <w:tcPr>
            <w:tcW w:w="1435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embalm </w:t>
            </w:r>
          </w:p>
        </w:tc>
        <w:tc>
          <w:tcPr>
            <w:tcW w:w="378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</w:t>
            </w:r>
            <w:r w:rsidRPr="00F6062E">
              <w:rPr>
                <w:rFonts w:ascii="Calibri" w:eastAsia="Malgun Gothic" w:hAnsi="Calibri" w:cs="Times New Roman"/>
              </w:rPr>
              <w:t xml:space="preserve">o </w:t>
            </w:r>
            <w:r>
              <w:rPr>
                <w:rFonts w:ascii="Calibri" w:eastAsia="Malgun Gothic" w:hAnsi="Calibri" w:cs="Times New Roman"/>
              </w:rPr>
              <w:t>preserve</w:t>
            </w:r>
            <w:r w:rsidRPr="00F6062E">
              <w:rPr>
                <w:rFonts w:ascii="Calibri" w:eastAsia="Malgun Gothic" w:hAnsi="Calibri" w:cs="Times New Roman"/>
              </w:rPr>
              <w:t xml:space="preserve"> </w:t>
            </w:r>
            <w:r>
              <w:rPr>
                <w:rFonts w:ascii="Calibri" w:eastAsia="Malgun Gothic" w:hAnsi="Calibri" w:cs="Times New Roman"/>
              </w:rPr>
              <w:t xml:space="preserve">a </w:t>
            </w:r>
            <w:r w:rsidRPr="00F6062E">
              <w:rPr>
                <w:rFonts w:ascii="Calibri" w:eastAsia="Malgun Gothic" w:hAnsi="Calibri" w:cs="Times New Roman"/>
              </w:rPr>
              <w:t xml:space="preserve">corpse </w:t>
            </w:r>
            <w:r>
              <w:rPr>
                <w:rFonts w:ascii="Calibri" w:eastAsia="Malgun Gothic" w:hAnsi="Calibri" w:cs="Times New Roman"/>
              </w:rPr>
              <w:t>to p</w:t>
            </w:r>
            <w:r w:rsidRPr="00F6062E">
              <w:rPr>
                <w:rFonts w:ascii="Calibri" w:eastAsia="Malgun Gothic" w:hAnsi="Calibri" w:cs="Times New Roman"/>
              </w:rPr>
              <w:t>revent decay</w:t>
            </w:r>
          </w:p>
        </w:tc>
        <w:tc>
          <w:tcPr>
            <w:tcW w:w="747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</w:p>
        </w:tc>
      </w:tr>
      <w:tr w:rsidR="00C5151B" w:rsidRPr="009B3576" w:rsidTr="000C2E28">
        <w:tc>
          <w:tcPr>
            <w:tcW w:w="1435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whittle </w:t>
            </w:r>
          </w:p>
        </w:tc>
        <w:tc>
          <w:tcPr>
            <w:tcW w:w="378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To cut down; to shave</w:t>
            </w:r>
            <w:r w:rsidR="004F3896">
              <w:rPr>
                <w:rFonts w:ascii="Calibri" w:eastAsia="Malgun Gothic" w:hAnsi="Calibri" w:cs="Times New Roman"/>
              </w:rPr>
              <w:t xml:space="preserve">; to hone </w:t>
            </w:r>
            <w:bookmarkStart w:id="0" w:name="_GoBack"/>
            <w:bookmarkEnd w:id="0"/>
            <w:r>
              <w:rPr>
                <w:rFonts w:ascii="Calibri" w:eastAsia="Malgun Gothic" w:hAnsi="Calibri" w:cs="Times New Roman"/>
              </w:rPr>
              <w:t xml:space="preserve"> </w:t>
            </w:r>
          </w:p>
        </w:tc>
        <w:tc>
          <w:tcPr>
            <w:tcW w:w="747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</w:p>
        </w:tc>
      </w:tr>
      <w:tr w:rsidR="00C5151B" w:rsidRPr="009B3576" w:rsidTr="000C2E28">
        <w:tc>
          <w:tcPr>
            <w:tcW w:w="1435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ascertain </w:t>
            </w:r>
          </w:p>
        </w:tc>
        <w:tc>
          <w:tcPr>
            <w:tcW w:w="378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To make certain</w:t>
            </w:r>
            <w:r w:rsidR="00793A09">
              <w:rPr>
                <w:rFonts w:ascii="Calibri" w:eastAsia="Malgun Gothic" w:hAnsi="Calibri" w:cs="Times New Roman"/>
              </w:rPr>
              <w:t>; to ensure</w:t>
            </w:r>
            <w:r>
              <w:rPr>
                <w:rFonts w:ascii="Calibri" w:eastAsia="Malgun Gothic" w:hAnsi="Calibri" w:cs="Times New Roman"/>
              </w:rPr>
              <w:t xml:space="preserve"> </w:t>
            </w:r>
          </w:p>
        </w:tc>
        <w:tc>
          <w:tcPr>
            <w:tcW w:w="747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</w:p>
        </w:tc>
      </w:tr>
      <w:tr w:rsidR="00C5151B" w:rsidRPr="009B3576" w:rsidTr="000C2E28">
        <w:tc>
          <w:tcPr>
            <w:tcW w:w="1435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Vigil </w:t>
            </w:r>
          </w:p>
        </w:tc>
        <w:tc>
          <w:tcPr>
            <w:tcW w:w="378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Vigilance; watch</w:t>
            </w:r>
            <w:r w:rsidR="00793A09">
              <w:rPr>
                <w:rFonts w:ascii="Calibri" w:eastAsia="Malgun Gothic" w:hAnsi="Calibri" w:cs="Times New Roman"/>
              </w:rPr>
              <w:t xml:space="preserve">; a period of watchful attention </w:t>
            </w:r>
          </w:p>
        </w:tc>
        <w:tc>
          <w:tcPr>
            <w:tcW w:w="7470" w:type="dxa"/>
          </w:tcPr>
          <w:p w:rsidR="00C5151B" w:rsidRPr="009B3576" w:rsidRDefault="00C5151B" w:rsidP="00FE49D3">
            <w:pPr>
              <w:rPr>
                <w:rFonts w:ascii="Calibri" w:eastAsia="Malgun Gothic" w:hAnsi="Calibri" w:cs="Times New Roman"/>
              </w:rPr>
            </w:pPr>
          </w:p>
        </w:tc>
      </w:tr>
    </w:tbl>
    <w:p w:rsidR="004A12E6" w:rsidRDefault="004A12E6"/>
    <w:sectPr w:rsidR="004A12E6" w:rsidSect="00C515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1B"/>
    <w:rsid w:val="000C2E28"/>
    <w:rsid w:val="004A12E6"/>
    <w:rsid w:val="004F3896"/>
    <w:rsid w:val="00793A09"/>
    <w:rsid w:val="00C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B9E6"/>
  <w15:chartTrackingRefBased/>
  <w15:docId w15:val="{FE83A936-FD3A-45F7-8555-5307386A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51B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5151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5</cp:revision>
  <dcterms:created xsi:type="dcterms:W3CDTF">2019-07-14T16:54:00Z</dcterms:created>
  <dcterms:modified xsi:type="dcterms:W3CDTF">2019-07-14T21:07:00Z</dcterms:modified>
</cp:coreProperties>
</file>